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E1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val="0"/>
          <w:bCs w:val="0"/>
          <w:i w:val="0"/>
          <w:iCs w:val="0"/>
          <w:caps w:val="0"/>
          <w:color w:val="006EAB"/>
          <w:spacing w:val="0"/>
          <w:sz w:val="30"/>
          <w:szCs w:val="30"/>
        </w:rPr>
      </w:pPr>
      <w:r>
        <w:rPr>
          <w:rFonts w:hint="eastAsia" w:ascii="微软雅黑" w:hAnsi="微软雅黑" w:eastAsia="微软雅黑" w:cs="微软雅黑"/>
          <w:b w:val="0"/>
          <w:bCs w:val="0"/>
          <w:i w:val="0"/>
          <w:iCs w:val="0"/>
          <w:caps w:val="0"/>
          <w:color w:val="006EAB"/>
          <w:spacing w:val="0"/>
          <w:sz w:val="30"/>
          <w:szCs w:val="30"/>
          <w:bdr w:val="none" w:color="auto" w:sz="0" w:space="0"/>
        </w:rPr>
        <w:t>湖南省科学技术厅 湖南省教育厅 湖南省财政厅印发《关于加强横向科研项目管理规范化的指导意见》的通知</w:t>
      </w:r>
    </w:p>
    <w:p w14:paraId="0D584394">
      <w:pPr>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0" w:afterAutospacing="0"/>
        <w:ind w:left="0" w:right="0" w:firstLine="0"/>
        <w:jc w:val="center"/>
        <w:rPr>
          <w:rFonts w:hint="eastAsia" w:ascii="微软雅黑" w:hAnsi="微软雅黑" w:eastAsia="微软雅黑" w:cs="微软雅黑"/>
          <w:i w:val="0"/>
          <w:iCs w:val="0"/>
          <w:caps w:val="0"/>
          <w:color w:val="666666"/>
          <w:spacing w:val="0"/>
          <w:sz w:val="14"/>
          <w:szCs w:val="14"/>
        </w:rPr>
      </w:pPr>
      <w:r>
        <w:rPr>
          <w:rFonts w:hint="eastAsia" w:ascii="微软雅黑" w:hAnsi="微软雅黑" w:eastAsia="微软雅黑" w:cs="微软雅黑"/>
          <w:i w:val="0"/>
          <w:iCs w:val="0"/>
          <w:caps w:val="0"/>
          <w:color w:val="666666"/>
          <w:spacing w:val="0"/>
          <w:kern w:val="0"/>
          <w:sz w:val="14"/>
          <w:szCs w:val="14"/>
          <w:bdr w:val="none" w:color="auto" w:sz="0" w:space="0"/>
          <w:lang w:val="en-US" w:eastAsia="zh-CN" w:bidi="ar"/>
        </w:rPr>
        <w:t>湖南省人民政府门户网站 www.hunan.gov.cn 发布时间： 2021-05-28 15:57 【字体：</w:t>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begin"/>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instrText xml:space="preserve"> HYPERLINK "javascript:doZoom(20)" </w:instrText>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666666"/>
          <w:spacing w:val="0"/>
          <w:sz w:val="14"/>
          <w:szCs w:val="14"/>
          <w:u w:val="none"/>
          <w:bdr w:val="none" w:color="auto" w:sz="0" w:space="0"/>
        </w:rPr>
        <w:t>大</w:t>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end"/>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begin"/>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instrText xml:space="preserve"> HYPERLINK "javascript:doZoom(15)" </w:instrText>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666666"/>
          <w:spacing w:val="0"/>
          <w:sz w:val="14"/>
          <w:szCs w:val="14"/>
          <w:u w:val="none"/>
          <w:bdr w:val="none" w:color="auto" w:sz="0" w:space="0"/>
        </w:rPr>
        <w:t>中</w:t>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end"/>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begin"/>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instrText xml:space="preserve"> HYPERLINK "javascript:doZoom(12)" </w:instrText>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666666"/>
          <w:spacing w:val="0"/>
          <w:sz w:val="14"/>
          <w:szCs w:val="14"/>
          <w:u w:val="none"/>
          <w:bdr w:val="none" w:color="auto" w:sz="0" w:space="0"/>
        </w:rPr>
        <w:t>小</w:t>
      </w:r>
      <w:r>
        <w:rPr>
          <w:rFonts w:hint="eastAsia" w:ascii="微软雅黑" w:hAnsi="微软雅黑" w:eastAsia="微软雅黑" w:cs="微软雅黑"/>
          <w:i w:val="0"/>
          <w:iCs w:val="0"/>
          <w:caps w:val="0"/>
          <w:color w:val="666666"/>
          <w:spacing w:val="0"/>
          <w:kern w:val="0"/>
          <w:sz w:val="14"/>
          <w:szCs w:val="14"/>
          <w:u w:val="none"/>
          <w:bdr w:val="none" w:color="auto" w:sz="0" w:space="0"/>
          <w:lang w:val="en-US" w:eastAsia="zh-CN" w:bidi="ar"/>
        </w:rPr>
        <w:fldChar w:fldCharType="end"/>
      </w:r>
      <w:r>
        <w:rPr>
          <w:rFonts w:hint="eastAsia" w:ascii="微软雅黑" w:hAnsi="微软雅黑" w:eastAsia="微软雅黑" w:cs="微软雅黑"/>
          <w:i w:val="0"/>
          <w:iCs w:val="0"/>
          <w:caps w:val="0"/>
          <w:color w:val="666666"/>
          <w:spacing w:val="0"/>
          <w:kern w:val="0"/>
          <w:sz w:val="14"/>
          <w:szCs w:val="14"/>
          <w:bdr w:val="none" w:color="auto" w:sz="0" w:space="0"/>
          <w:lang w:val="en-US" w:eastAsia="zh-CN" w:bidi="ar"/>
        </w:rPr>
        <w:t>】</w:t>
      </w:r>
    </w:p>
    <w:p w14:paraId="7C52A8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ascii="方正书宋简体" w:hAnsi="方正书宋简体" w:eastAsia="方正书宋简体" w:cs="方正书宋简体"/>
          <w:color w:val="000000"/>
          <w:sz w:val="22"/>
          <w:szCs w:val="22"/>
        </w:rPr>
      </w:pPr>
      <w:r>
        <w:rPr>
          <w:rFonts w:hint="eastAsia" w:ascii="宋体" w:hAnsi="宋体" w:eastAsia="宋体" w:cs="宋体"/>
          <w:b/>
          <w:bCs/>
          <w:i w:val="0"/>
          <w:iCs w:val="0"/>
          <w:caps w:val="0"/>
          <w:color w:val="000000"/>
          <w:spacing w:val="0"/>
          <w:sz w:val="28"/>
          <w:szCs w:val="28"/>
          <w:bdr w:val="none" w:color="auto" w:sz="0" w:space="0"/>
        </w:rPr>
        <w:t>湖南省科学技术厅 湖南省教育厅 湖南省财政厅</w:t>
      </w:r>
    </w:p>
    <w:p w14:paraId="3BBC01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书宋简体" w:hAnsi="方正书宋简体" w:eastAsia="方正书宋简体" w:cs="方正书宋简体"/>
          <w:color w:val="000000"/>
          <w:sz w:val="22"/>
          <w:szCs w:val="22"/>
        </w:rPr>
      </w:pPr>
      <w:r>
        <w:rPr>
          <w:rFonts w:hint="eastAsia" w:ascii="宋体" w:hAnsi="宋体" w:eastAsia="宋体" w:cs="宋体"/>
          <w:b/>
          <w:bCs/>
          <w:i w:val="0"/>
          <w:iCs w:val="0"/>
          <w:caps w:val="0"/>
          <w:color w:val="000000"/>
          <w:spacing w:val="0"/>
          <w:sz w:val="28"/>
          <w:szCs w:val="28"/>
          <w:bdr w:val="none" w:color="auto" w:sz="0" w:space="0"/>
        </w:rPr>
        <w:t>印发《关于加强横向科研项目管理</w:t>
      </w:r>
    </w:p>
    <w:p w14:paraId="305C7E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书宋简体" w:hAnsi="方正书宋简体" w:eastAsia="方正书宋简体" w:cs="方正书宋简体"/>
          <w:color w:val="000000"/>
          <w:sz w:val="22"/>
          <w:szCs w:val="22"/>
        </w:rPr>
      </w:pPr>
      <w:r>
        <w:rPr>
          <w:rFonts w:hint="eastAsia" w:ascii="宋体" w:hAnsi="宋体" w:eastAsia="宋体" w:cs="宋体"/>
          <w:b/>
          <w:bCs/>
          <w:i w:val="0"/>
          <w:iCs w:val="0"/>
          <w:caps w:val="0"/>
          <w:color w:val="000000"/>
          <w:spacing w:val="0"/>
          <w:sz w:val="28"/>
          <w:szCs w:val="28"/>
          <w:bdr w:val="none" w:color="auto" w:sz="0" w:space="0"/>
        </w:rPr>
        <w:t>规范化的指导意见》的通知</w:t>
      </w:r>
    </w:p>
    <w:p w14:paraId="50B1E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书宋简体" w:hAnsi="方正书宋简体" w:eastAsia="方正书宋简体" w:cs="方正书宋简体"/>
          <w:color w:val="000000"/>
          <w:sz w:val="20"/>
          <w:szCs w:val="20"/>
        </w:rPr>
      </w:pPr>
      <w:r>
        <w:rPr>
          <w:rFonts w:hint="eastAsia" w:ascii="宋体" w:hAnsi="宋体" w:eastAsia="宋体" w:cs="宋体"/>
          <w:i w:val="0"/>
          <w:iCs w:val="0"/>
          <w:caps w:val="0"/>
          <w:color w:val="000000"/>
          <w:spacing w:val="0"/>
          <w:sz w:val="22"/>
          <w:szCs w:val="22"/>
          <w:bdr w:val="none" w:color="auto" w:sz="0" w:space="0"/>
        </w:rPr>
        <w:t>湘科发〔</w:t>
      </w:r>
      <w:r>
        <w:rPr>
          <w:rFonts w:hint="default" w:ascii="Times New Roman" w:hAnsi="Times New Roman" w:eastAsia="方正书宋简体" w:cs="Times New Roman"/>
          <w:i w:val="0"/>
          <w:iCs w:val="0"/>
          <w:caps w:val="0"/>
          <w:color w:val="000000"/>
          <w:spacing w:val="0"/>
          <w:sz w:val="22"/>
          <w:szCs w:val="22"/>
          <w:bdr w:val="none" w:color="auto" w:sz="0" w:space="0"/>
        </w:rPr>
        <w:t>2021</w:t>
      </w:r>
      <w:r>
        <w:rPr>
          <w:rFonts w:hint="eastAsia" w:ascii="宋体" w:hAnsi="宋体" w:eastAsia="宋体" w:cs="宋体"/>
          <w:i w:val="0"/>
          <w:iCs w:val="0"/>
          <w:caps w:val="0"/>
          <w:color w:val="000000"/>
          <w:spacing w:val="0"/>
          <w:sz w:val="22"/>
          <w:szCs w:val="22"/>
          <w:bdr w:val="none" w:color="auto" w:sz="0" w:space="0"/>
        </w:rPr>
        <w:t>〕</w:t>
      </w:r>
      <w:r>
        <w:rPr>
          <w:rFonts w:hint="default" w:ascii="Times New Roman" w:hAnsi="Times New Roman" w:eastAsia="方正书宋简体" w:cs="Times New Roman"/>
          <w:i w:val="0"/>
          <w:iCs w:val="0"/>
          <w:caps w:val="0"/>
          <w:color w:val="000000"/>
          <w:spacing w:val="0"/>
          <w:sz w:val="22"/>
          <w:szCs w:val="22"/>
          <w:bdr w:val="none" w:color="auto" w:sz="0" w:space="0"/>
        </w:rPr>
        <w:t>35</w:t>
      </w:r>
      <w:r>
        <w:rPr>
          <w:rFonts w:hint="eastAsia" w:ascii="宋体" w:hAnsi="宋体" w:eastAsia="宋体" w:cs="宋体"/>
          <w:i w:val="0"/>
          <w:iCs w:val="0"/>
          <w:caps w:val="0"/>
          <w:color w:val="000000"/>
          <w:spacing w:val="0"/>
          <w:sz w:val="22"/>
          <w:szCs w:val="22"/>
          <w:bdr w:val="none" w:color="auto" w:sz="0" w:space="0"/>
        </w:rPr>
        <w:t>号</w:t>
      </w:r>
    </w:p>
    <w:p w14:paraId="19ED4A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书宋简体" w:hAnsi="方正书宋简体" w:eastAsia="方正书宋简体" w:cs="方正书宋简体"/>
          <w:color w:val="000000"/>
          <w:sz w:val="20"/>
          <w:szCs w:val="20"/>
        </w:rPr>
      </w:pPr>
      <w:r>
        <w:rPr>
          <w:rFonts w:hint="default" w:ascii="Times New Roman" w:hAnsi="Times New Roman" w:eastAsia="方正书宋简体" w:cs="Times New Roman"/>
          <w:i w:val="0"/>
          <w:iCs w:val="0"/>
          <w:caps w:val="0"/>
          <w:color w:val="000000"/>
          <w:spacing w:val="0"/>
          <w:sz w:val="22"/>
          <w:szCs w:val="22"/>
          <w:bdr w:val="none" w:color="auto" w:sz="0" w:space="0"/>
        </w:rPr>
        <w:t>HNPR—2021—04008</w:t>
      </w:r>
    </w:p>
    <w:p w14:paraId="1AC031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书宋简体" w:hAnsi="方正书宋简体" w:eastAsia="方正书宋简体" w:cs="方正书宋简体"/>
          <w:color w:val="000000"/>
          <w:sz w:val="20"/>
          <w:szCs w:val="20"/>
        </w:rPr>
      </w:pPr>
      <w:r>
        <w:rPr>
          <w:rFonts w:hint="default" w:ascii="方正书宋简体" w:hAnsi="方正书宋简体" w:eastAsia="方正书宋简体" w:cs="方正书宋简体"/>
          <w:i w:val="0"/>
          <w:iCs w:val="0"/>
          <w:caps w:val="0"/>
          <w:color w:val="000000"/>
          <w:spacing w:val="0"/>
          <w:sz w:val="20"/>
          <w:szCs w:val="20"/>
          <w:bdr w:val="none" w:color="auto" w:sz="0" w:space="0"/>
        </w:rPr>
        <w:t> </w:t>
      </w:r>
    </w:p>
    <w:p w14:paraId="375EF3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default" w:ascii="方正书宋简体" w:hAnsi="方正书宋简体" w:eastAsia="方正书宋简体" w:cs="方正书宋简体"/>
          <w:color w:val="000000"/>
          <w:sz w:val="18"/>
          <w:szCs w:val="18"/>
        </w:rPr>
      </w:pPr>
      <w:r>
        <w:rPr>
          <w:rFonts w:ascii="楷体" w:hAnsi="楷体" w:eastAsia="楷体" w:cs="楷体"/>
          <w:i w:val="0"/>
          <w:iCs w:val="0"/>
          <w:caps w:val="0"/>
          <w:color w:val="000000"/>
          <w:spacing w:val="0"/>
          <w:sz w:val="22"/>
          <w:szCs w:val="22"/>
          <w:bdr w:val="none" w:color="auto" w:sz="0" w:space="0"/>
        </w:rPr>
        <w:t>各有关单位：</w:t>
      </w:r>
    </w:p>
    <w:p w14:paraId="3E2973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方正书宋简体" w:hAnsi="方正书宋简体" w:eastAsia="方正书宋简体" w:cs="方正书宋简体"/>
          <w:color w:val="000000"/>
          <w:sz w:val="20"/>
          <w:szCs w:val="20"/>
        </w:rPr>
      </w:pPr>
      <w:r>
        <w:rPr>
          <w:rFonts w:hint="eastAsia" w:ascii="楷体" w:hAnsi="楷体" w:eastAsia="楷体" w:cs="楷体"/>
          <w:i w:val="0"/>
          <w:iCs w:val="0"/>
          <w:caps w:val="0"/>
          <w:color w:val="000000"/>
          <w:spacing w:val="0"/>
          <w:sz w:val="24"/>
          <w:szCs w:val="24"/>
          <w:bdr w:val="none" w:color="auto" w:sz="0" w:space="0"/>
        </w:rPr>
        <w:t>为深入贯彻落实中共中央办公厅、国务院办公厅关于进一步完善中央财政科研项目资金管理等政策的若干意见、《国务院关于优化科研管理提升科研绩效若干措施的通知》（国发〔</w:t>
      </w:r>
      <w:r>
        <w:rPr>
          <w:rFonts w:hint="default" w:ascii="方正书宋简体" w:hAnsi="方正书宋简体" w:eastAsia="方正书宋简体" w:cs="方正书宋简体"/>
          <w:i w:val="0"/>
          <w:iCs w:val="0"/>
          <w:caps w:val="0"/>
          <w:color w:val="000000"/>
          <w:spacing w:val="0"/>
          <w:sz w:val="24"/>
          <w:szCs w:val="24"/>
          <w:bdr w:val="none" w:color="auto" w:sz="0" w:space="0"/>
        </w:rPr>
        <w:t>2018</w:t>
      </w:r>
      <w:r>
        <w:rPr>
          <w:rFonts w:hint="eastAsia" w:ascii="楷体" w:hAnsi="楷体" w:eastAsia="楷体" w:cs="楷体"/>
          <w:i w:val="0"/>
          <w:iCs w:val="0"/>
          <w:caps w:val="0"/>
          <w:color w:val="000000"/>
          <w:spacing w:val="0"/>
          <w:sz w:val="24"/>
          <w:szCs w:val="24"/>
          <w:bdr w:val="none" w:color="auto" w:sz="0" w:space="0"/>
        </w:rPr>
        <w:t>〕</w:t>
      </w:r>
      <w:r>
        <w:rPr>
          <w:rFonts w:hint="default" w:ascii="方正书宋简体" w:hAnsi="方正书宋简体" w:eastAsia="方正书宋简体" w:cs="方正书宋简体"/>
          <w:i w:val="0"/>
          <w:iCs w:val="0"/>
          <w:caps w:val="0"/>
          <w:color w:val="000000"/>
          <w:spacing w:val="0"/>
          <w:sz w:val="24"/>
          <w:szCs w:val="24"/>
          <w:bdr w:val="none" w:color="auto" w:sz="0" w:space="0"/>
        </w:rPr>
        <w:t>25</w:t>
      </w:r>
      <w:r>
        <w:rPr>
          <w:rFonts w:hint="eastAsia" w:ascii="楷体" w:hAnsi="楷体" w:eastAsia="楷体" w:cs="楷体"/>
          <w:i w:val="0"/>
          <w:iCs w:val="0"/>
          <w:caps w:val="0"/>
          <w:color w:val="000000"/>
          <w:spacing w:val="0"/>
          <w:sz w:val="24"/>
          <w:szCs w:val="24"/>
          <w:bdr w:val="none" w:color="auto" w:sz="0" w:space="0"/>
        </w:rPr>
        <w:t>号）、《中共湖南省委办公厅</w:t>
      </w:r>
      <w:r>
        <w:rPr>
          <w:rFonts w:hint="default" w:ascii="方正书宋简体" w:hAnsi="方正书宋简体" w:eastAsia="方正书宋简体" w:cs="方正书宋简体"/>
          <w:i w:val="0"/>
          <w:iCs w:val="0"/>
          <w:caps w:val="0"/>
          <w:color w:val="000000"/>
          <w:spacing w:val="0"/>
          <w:sz w:val="24"/>
          <w:szCs w:val="24"/>
          <w:bdr w:val="none" w:color="auto" w:sz="0" w:space="0"/>
        </w:rPr>
        <w:t> </w:t>
      </w:r>
      <w:r>
        <w:rPr>
          <w:rFonts w:hint="eastAsia" w:ascii="楷体" w:hAnsi="楷体" w:eastAsia="楷体" w:cs="楷体"/>
          <w:i w:val="0"/>
          <w:iCs w:val="0"/>
          <w:caps w:val="0"/>
          <w:color w:val="000000"/>
          <w:spacing w:val="0"/>
          <w:sz w:val="24"/>
          <w:szCs w:val="24"/>
          <w:bdr w:val="none" w:color="auto" w:sz="0" w:space="0"/>
        </w:rPr>
        <w:t>湖南省人民政府办公厅印发〈关于完善省级科研项目资金管理激发创新活力的若干政策措施〉的通知》（湘办发〔</w:t>
      </w:r>
      <w:r>
        <w:rPr>
          <w:rFonts w:hint="default" w:ascii="方正书宋简体" w:hAnsi="方正书宋简体" w:eastAsia="方正书宋简体" w:cs="方正书宋简体"/>
          <w:i w:val="0"/>
          <w:iCs w:val="0"/>
          <w:caps w:val="0"/>
          <w:color w:val="000000"/>
          <w:spacing w:val="0"/>
          <w:sz w:val="24"/>
          <w:szCs w:val="24"/>
          <w:bdr w:val="none" w:color="auto" w:sz="0" w:space="0"/>
        </w:rPr>
        <w:t>2017</w:t>
      </w:r>
      <w:r>
        <w:rPr>
          <w:rFonts w:hint="eastAsia" w:ascii="楷体" w:hAnsi="楷体" w:eastAsia="楷体" w:cs="楷体"/>
          <w:i w:val="0"/>
          <w:iCs w:val="0"/>
          <w:caps w:val="0"/>
          <w:color w:val="000000"/>
          <w:spacing w:val="0"/>
          <w:sz w:val="24"/>
          <w:szCs w:val="24"/>
          <w:bdr w:val="none" w:color="auto" w:sz="0" w:space="0"/>
        </w:rPr>
        <w:t>〕</w:t>
      </w:r>
      <w:r>
        <w:rPr>
          <w:rFonts w:hint="default" w:ascii="方正书宋简体" w:hAnsi="方正书宋简体" w:eastAsia="方正书宋简体" w:cs="方正书宋简体"/>
          <w:i w:val="0"/>
          <w:iCs w:val="0"/>
          <w:caps w:val="0"/>
          <w:color w:val="000000"/>
          <w:spacing w:val="0"/>
          <w:sz w:val="24"/>
          <w:szCs w:val="24"/>
          <w:bdr w:val="none" w:color="auto" w:sz="0" w:space="0"/>
        </w:rPr>
        <w:t>9</w:t>
      </w:r>
      <w:r>
        <w:rPr>
          <w:rFonts w:hint="eastAsia" w:ascii="楷体" w:hAnsi="楷体" w:eastAsia="楷体" w:cs="楷体"/>
          <w:i w:val="0"/>
          <w:iCs w:val="0"/>
          <w:caps w:val="0"/>
          <w:color w:val="000000"/>
          <w:spacing w:val="0"/>
          <w:sz w:val="24"/>
          <w:szCs w:val="24"/>
          <w:bdr w:val="none" w:color="auto" w:sz="0" w:space="0"/>
        </w:rPr>
        <w:t>号）等文件精神，切实加强横向科研项目管理，提高横向科研项目经费使用效益，调动广大科研人员积极性，促进科研事业发展，特制定本意见。现印发你们，请参照执行。</w:t>
      </w:r>
    </w:p>
    <w:p w14:paraId="7A49D4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720"/>
        <w:jc w:val="both"/>
        <w:textAlignment w:val="auto"/>
        <w:rPr>
          <w:rFonts w:ascii="NEU-BZ" w:hAnsi="NEU-BZ" w:eastAsia="NEU-BZ" w:cs="NEU-BZ"/>
          <w:color w:val="000000"/>
          <w:sz w:val="15"/>
          <w:szCs w:val="15"/>
        </w:rPr>
      </w:pPr>
      <w:r>
        <w:rPr>
          <w:rFonts w:hint="default" w:ascii="NEU-BZ" w:hAnsi="NEU-BZ" w:eastAsia="NEU-BZ" w:cs="NEU-BZ"/>
          <w:i w:val="0"/>
          <w:iCs w:val="0"/>
          <w:caps w:val="0"/>
          <w:color w:val="000000"/>
          <w:spacing w:val="0"/>
          <w:sz w:val="15"/>
          <w:szCs w:val="15"/>
          <w:bdr w:val="none" w:color="auto" w:sz="0" w:space="0"/>
        </w:rPr>
        <w:t> </w:t>
      </w:r>
    </w:p>
    <w:p w14:paraId="4D908F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720"/>
        <w:jc w:val="both"/>
        <w:textAlignment w:val="auto"/>
        <w:rPr>
          <w:rFonts w:hint="default" w:ascii="方正书宋简体" w:hAnsi="方正书宋简体" w:eastAsia="方正书宋简体" w:cs="方正书宋简体"/>
          <w:color w:val="000000"/>
          <w:sz w:val="18"/>
          <w:szCs w:val="18"/>
        </w:rPr>
      </w:pPr>
      <w:r>
        <w:rPr>
          <w:rFonts w:hint="eastAsia" w:ascii="楷体" w:hAnsi="楷体" w:eastAsia="楷体" w:cs="楷体"/>
          <w:i w:val="0"/>
          <w:iCs w:val="0"/>
          <w:caps w:val="0"/>
          <w:color w:val="000000"/>
          <w:spacing w:val="0"/>
          <w:sz w:val="22"/>
          <w:szCs w:val="22"/>
          <w:bdr w:val="none" w:color="auto" w:sz="0" w:space="0"/>
        </w:rPr>
        <w:t>附件：关于加强横向科研项目管理规范化的指导意见</w:t>
      </w:r>
    </w:p>
    <w:p w14:paraId="1110C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720"/>
        <w:jc w:val="both"/>
        <w:textAlignment w:val="auto"/>
        <w:rPr>
          <w:rFonts w:hint="default" w:ascii="NEU-BZ" w:hAnsi="NEU-BZ" w:eastAsia="NEU-BZ" w:cs="NEU-BZ"/>
          <w:color w:val="000000"/>
          <w:sz w:val="15"/>
          <w:szCs w:val="15"/>
        </w:rPr>
      </w:pPr>
      <w:r>
        <w:rPr>
          <w:rFonts w:hint="default" w:ascii="NEU-BZ" w:hAnsi="NEU-BZ" w:eastAsia="NEU-BZ" w:cs="NEU-BZ"/>
          <w:i w:val="0"/>
          <w:iCs w:val="0"/>
          <w:caps w:val="0"/>
          <w:color w:val="000000"/>
          <w:spacing w:val="0"/>
          <w:sz w:val="15"/>
          <w:szCs w:val="15"/>
          <w:bdr w:val="none" w:color="auto" w:sz="0" w:space="0"/>
        </w:rPr>
        <w:t> </w:t>
      </w:r>
    </w:p>
    <w:p w14:paraId="3FAF8C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720"/>
        <w:jc w:val="right"/>
        <w:textAlignment w:val="auto"/>
        <w:rPr>
          <w:rFonts w:hint="default" w:ascii="方正书宋简体" w:hAnsi="方正书宋简体" w:eastAsia="方正书宋简体" w:cs="方正书宋简体"/>
          <w:color w:val="000000"/>
          <w:sz w:val="18"/>
          <w:szCs w:val="18"/>
        </w:rPr>
      </w:pPr>
      <w:r>
        <w:rPr>
          <w:rFonts w:hint="eastAsia" w:ascii="楷体" w:hAnsi="楷体" w:eastAsia="楷体" w:cs="楷体"/>
          <w:i w:val="0"/>
          <w:iCs w:val="0"/>
          <w:caps w:val="0"/>
          <w:color w:val="000000"/>
          <w:spacing w:val="0"/>
          <w:sz w:val="22"/>
          <w:szCs w:val="22"/>
          <w:bdr w:val="none" w:color="auto" w:sz="0" w:space="0"/>
        </w:rPr>
        <w:t>湖南省科学技术厅</w:t>
      </w:r>
      <w:r>
        <w:rPr>
          <w:rFonts w:hint="default" w:ascii="方正书宋简体" w:hAnsi="方正书宋简体" w:eastAsia="方正书宋简体" w:cs="方正书宋简体"/>
          <w:i w:val="0"/>
          <w:iCs w:val="0"/>
          <w:caps w:val="0"/>
          <w:color w:val="000000"/>
          <w:spacing w:val="0"/>
          <w:sz w:val="22"/>
          <w:szCs w:val="22"/>
          <w:bdr w:val="none" w:color="auto" w:sz="0" w:space="0"/>
        </w:rPr>
        <w:t>     </w:t>
      </w:r>
    </w:p>
    <w:p w14:paraId="3EF06C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720"/>
        <w:jc w:val="right"/>
        <w:textAlignment w:val="auto"/>
        <w:rPr>
          <w:rFonts w:hint="default" w:ascii="方正书宋简体" w:hAnsi="方正书宋简体" w:eastAsia="方正书宋简体" w:cs="方正书宋简体"/>
          <w:color w:val="000000"/>
          <w:sz w:val="18"/>
          <w:szCs w:val="18"/>
        </w:rPr>
      </w:pPr>
      <w:r>
        <w:rPr>
          <w:rFonts w:hint="eastAsia" w:ascii="楷体" w:hAnsi="楷体" w:eastAsia="楷体" w:cs="楷体"/>
          <w:i w:val="0"/>
          <w:iCs w:val="0"/>
          <w:caps w:val="0"/>
          <w:color w:val="000000"/>
          <w:spacing w:val="0"/>
          <w:sz w:val="22"/>
          <w:szCs w:val="22"/>
          <w:bdr w:val="none" w:color="auto" w:sz="0" w:space="0"/>
        </w:rPr>
        <w:t>湖南省教育厅</w:t>
      </w:r>
      <w:r>
        <w:rPr>
          <w:rFonts w:hint="default" w:ascii="方正书宋简体" w:hAnsi="方正书宋简体" w:eastAsia="方正书宋简体" w:cs="方正书宋简体"/>
          <w:i w:val="0"/>
          <w:iCs w:val="0"/>
          <w:caps w:val="0"/>
          <w:color w:val="000000"/>
          <w:spacing w:val="0"/>
          <w:sz w:val="22"/>
          <w:szCs w:val="22"/>
          <w:bdr w:val="none" w:color="auto" w:sz="0" w:space="0"/>
        </w:rPr>
        <w:t>     </w:t>
      </w:r>
    </w:p>
    <w:p w14:paraId="5A4F0C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720"/>
        <w:jc w:val="right"/>
        <w:textAlignment w:val="auto"/>
        <w:rPr>
          <w:rFonts w:hint="default" w:ascii="方正书宋简体" w:hAnsi="方正书宋简体" w:eastAsia="方正书宋简体" w:cs="方正书宋简体"/>
          <w:color w:val="000000"/>
          <w:sz w:val="18"/>
          <w:szCs w:val="18"/>
        </w:rPr>
      </w:pPr>
      <w:r>
        <w:rPr>
          <w:rFonts w:hint="eastAsia" w:ascii="楷体" w:hAnsi="楷体" w:eastAsia="楷体" w:cs="楷体"/>
          <w:i w:val="0"/>
          <w:iCs w:val="0"/>
          <w:caps w:val="0"/>
          <w:color w:val="000000"/>
          <w:spacing w:val="0"/>
          <w:sz w:val="22"/>
          <w:szCs w:val="22"/>
          <w:bdr w:val="none" w:color="auto" w:sz="0" w:space="0"/>
        </w:rPr>
        <w:t>湖南省财政厅</w:t>
      </w:r>
      <w:r>
        <w:rPr>
          <w:rFonts w:hint="default" w:ascii="方正书宋简体" w:hAnsi="方正书宋简体" w:eastAsia="方正书宋简体" w:cs="方正书宋简体"/>
          <w:i w:val="0"/>
          <w:iCs w:val="0"/>
          <w:caps w:val="0"/>
          <w:color w:val="000000"/>
          <w:spacing w:val="0"/>
          <w:sz w:val="22"/>
          <w:szCs w:val="22"/>
          <w:bdr w:val="none" w:color="auto" w:sz="0" w:space="0"/>
        </w:rPr>
        <w:t>     </w:t>
      </w:r>
    </w:p>
    <w:p w14:paraId="012C56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720"/>
        <w:jc w:val="right"/>
        <w:textAlignment w:val="auto"/>
        <w:rPr>
          <w:rFonts w:hint="default" w:ascii="方正书宋简体" w:hAnsi="方正书宋简体" w:eastAsia="方正书宋简体" w:cs="方正书宋简体"/>
          <w:color w:val="000000"/>
          <w:sz w:val="18"/>
          <w:szCs w:val="18"/>
        </w:rPr>
      </w:pPr>
      <w:r>
        <w:rPr>
          <w:rFonts w:hint="default" w:ascii="方正书宋简体" w:hAnsi="方正书宋简体" w:eastAsia="方正书宋简体" w:cs="方正书宋简体"/>
          <w:i w:val="0"/>
          <w:iCs w:val="0"/>
          <w:caps w:val="0"/>
          <w:color w:val="000000"/>
          <w:spacing w:val="0"/>
          <w:sz w:val="22"/>
          <w:szCs w:val="22"/>
          <w:bdr w:val="none" w:color="auto" w:sz="0" w:space="0"/>
        </w:rPr>
        <w:t>2021</w:t>
      </w:r>
      <w:r>
        <w:rPr>
          <w:rFonts w:hint="eastAsia" w:ascii="楷体" w:hAnsi="楷体" w:eastAsia="楷体" w:cs="楷体"/>
          <w:i w:val="0"/>
          <w:iCs w:val="0"/>
          <w:caps w:val="0"/>
          <w:color w:val="000000"/>
          <w:spacing w:val="0"/>
          <w:sz w:val="22"/>
          <w:szCs w:val="22"/>
          <w:bdr w:val="none" w:color="auto" w:sz="0" w:space="0"/>
        </w:rPr>
        <w:t>年</w:t>
      </w:r>
      <w:r>
        <w:rPr>
          <w:rFonts w:hint="default" w:ascii="方正书宋简体" w:hAnsi="方正书宋简体" w:eastAsia="方正书宋简体" w:cs="方正书宋简体"/>
          <w:i w:val="0"/>
          <w:iCs w:val="0"/>
          <w:caps w:val="0"/>
          <w:color w:val="000000"/>
          <w:spacing w:val="0"/>
          <w:sz w:val="22"/>
          <w:szCs w:val="22"/>
          <w:bdr w:val="none" w:color="auto" w:sz="0" w:space="0"/>
        </w:rPr>
        <w:t>3</w:t>
      </w:r>
      <w:r>
        <w:rPr>
          <w:rFonts w:hint="eastAsia" w:ascii="楷体" w:hAnsi="楷体" w:eastAsia="楷体" w:cs="楷体"/>
          <w:i w:val="0"/>
          <w:iCs w:val="0"/>
          <w:caps w:val="0"/>
          <w:color w:val="000000"/>
          <w:spacing w:val="0"/>
          <w:sz w:val="22"/>
          <w:szCs w:val="22"/>
          <w:bdr w:val="none" w:color="auto" w:sz="0" w:space="0"/>
        </w:rPr>
        <w:t>月</w:t>
      </w:r>
      <w:r>
        <w:rPr>
          <w:rFonts w:hint="default" w:ascii="方正书宋简体" w:hAnsi="方正书宋简体" w:eastAsia="方正书宋简体" w:cs="方正书宋简体"/>
          <w:i w:val="0"/>
          <w:iCs w:val="0"/>
          <w:caps w:val="0"/>
          <w:color w:val="000000"/>
          <w:spacing w:val="0"/>
          <w:sz w:val="22"/>
          <w:szCs w:val="22"/>
          <w:bdr w:val="none" w:color="auto" w:sz="0" w:space="0"/>
        </w:rPr>
        <w:t>22</w:t>
      </w:r>
      <w:r>
        <w:rPr>
          <w:rFonts w:hint="eastAsia" w:ascii="楷体" w:hAnsi="楷体" w:eastAsia="楷体" w:cs="楷体"/>
          <w:i w:val="0"/>
          <w:iCs w:val="0"/>
          <w:caps w:val="0"/>
          <w:color w:val="000000"/>
          <w:spacing w:val="0"/>
          <w:sz w:val="22"/>
          <w:szCs w:val="22"/>
          <w:bdr w:val="none" w:color="auto" w:sz="0" w:space="0"/>
        </w:rPr>
        <w:t>日</w:t>
      </w:r>
      <w:r>
        <w:rPr>
          <w:rFonts w:hint="default" w:ascii="方正书宋简体" w:hAnsi="方正书宋简体" w:eastAsia="方正书宋简体" w:cs="方正书宋简体"/>
          <w:i w:val="0"/>
          <w:iCs w:val="0"/>
          <w:caps w:val="0"/>
          <w:color w:val="000000"/>
          <w:spacing w:val="0"/>
          <w:sz w:val="22"/>
          <w:szCs w:val="22"/>
          <w:bdr w:val="none" w:color="auto" w:sz="0" w:space="0"/>
        </w:rPr>
        <w:t>    </w:t>
      </w:r>
    </w:p>
    <w:p w14:paraId="6090A7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both"/>
        <w:textAlignment w:val="auto"/>
        <w:rPr>
          <w:rFonts w:hint="default" w:ascii="NEU-BZ" w:hAnsi="NEU-BZ" w:eastAsia="NEU-BZ" w:cs="NEU-BZ"/>
          <w:color w:val="000000"/>
          <w:sz w:val="15"/>
          <w:szCs w:val="15"/>
        </w:rPr>
      </w:pPr>
      <w:r>
        <w:rPr>
          <w:rFonts w:hint="default" w:ascii="NEU-BZ" w:hAnsi="NEU-BZ" w:eastAsia="NEU-BZ" w:cs="NEU-BZ"/>
          <w:i w:val="0"/>
          <w:iCs w:val="0"/>
          <w:caps w:val="0"/>
          <w:color w:val="000000"/>
          <w:spacing w:val="0"/>
          <w:sz w:val="15"/>
          <w:szCs w:val="15"/>
          <w:bdr w:val="none" w:color="auto" w:sz="0" w:space="0"/>
        </w:rPr>
        <w:t> </w:t>
      </w:r>
    </w:p>
    <w:p w14:paraId="1E92025A">
      <w:pPr>
        <w:rPr>
          <w:rFonts w:ascii="黑体" w:hAnsi="宋体" w:eastAsia="黑体" w:cs="黑体"/>
          <w:i w:val="0"/>
          <w:iCs w:val="0"/>
          <w:caps w:val="0"/>
          <w:color w:val="000000"/>
          <w:spacing w:val="0"/>
          <w:sz w:val="22"/>
          <w:szCs w:val="22"/>
          <w:bdr w:val="none" w:color="auto" w:sz="0" w:space="0"/>
        </w:rPr>
      </w:pPr>
      <w:r>
        <w:rPr>
          <w:rFonts w:ascii="黑体" w:hAnsi="宋体" w:eastAsia="黑体" w:cs="黑体"/>
          <w:i w:val="0"/>
          <w:iCs w:val="0"/>
          <w:caps w:val="0"/>
          <w:color w:val="000000"/>
          <w:spacing w:val="0"/>
          <w:sz w:val="22"/>
          <w:szCs w:val="22"/>
          <w:bdr w:val="none" w:color="auto" w:sz="0" w:space="0"/>
        </w:rPr>
        <w:br w:type="page"/>
      </w:r>
    </w:p>
    <w:p w14:paraId="582536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both"/>
        <w:textAlignment w:val="auto"/>
        <w:rPr>
          <w:rFonts w:hint="default" w:ascii="NEU-BZ" w:hAnsi="NEU-BZ" w:eastAsia="NEU-BZ" w:cs="NEU-BZ"/>
          <w:color w:val="000000"/>
          <w:sz w:val="15"/>
          <w:szCs w:val="15"/>
        </w:rPr>
      </w:pPr>
      <w:r>
        <w:rPr>
          <w:rFonts w:ascii="黑体" w:hAnsi="宋体" w:eastAsia="黑体" w:cs="黑体"/>
          <w:i w:val="0"/>
          <w:iCs w:val="0"/>
          <w:caps w:val="0"/>
          <w:color w:val="000000"/>
          <w:spacing w:val="0"/>
          <w:sz w:val="22"/>
          <w:szCs w:val="22"/>
          <w:bdr w:val="none" w:color="auto" w:sz="0" w:space="0"/>
        </w:rPr>
        <w:t>附件</w:t>
      </w:r>
    </w:p>
    <w:p w14:paraId="027CCF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书宋简体" w:hAnsi="方正书宋简体" w:eastAsia="方正书宋简体" w:cs="方正书宋简体"/>
          <w:color w:val="000000"/>
          <w:sz w:val="28"/>
          <w:szCs w:val="28"/>
        </w:rPr>
      </w:pPr>
      <w:r>
        <w:rPr>
          <w:rFonts w:ascii="方正楷体_GBK" w:hAnsi="方正楷体_GBK" w:eastAsia="方正楷体_GBK" w:cs="方正楷体_GBK"/>
          <w:i w:val="0"/>
          <w:iCs w:val="0"/>
          <w:caps w:val="0"/>
          <w:color w:val="000000"/>
          <w:spacing w:val="0"/>
          <w:sz w:val="32"/>
          <w:szCs w:val="32"/>
          <w:bdr w:val="none" w:color="auto" w:sz="0" w:space="0"/>
        </w:rPr>
        <w:t>关于加强横向科研项目管理规范化的指导意见</w:t>
      </w:r>
    </w:p>
    <w:p w14:paraId="368E5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书宋简体" w:hAnsi="方正书宋简体" w:eastAsia="方正书宋简体" w:cs="方正书宋简体"/>
          <w:color w:val="000000"/>
          <w:sz w:val="28"/>
          <w:szCs w:val="28"/>
        </w:rPr>
      </w:pPr>
      <w:r>
        <w:rPr>
          <w:rFonts w:hint="default" w:ascii="方正书宋简体" w:hAnsi="方正书宋简体" w:eastAsia="方正书宋简体" w:cs="方正书宋简体"/>
          <w:i w:val="0"/>
          <w:iCs w:val="0"/>
          <w:caps w:val="0"/>
          <w:color w:val="000000"/>
          <w:spacing w:val="0"/>
          <w:sz w:val="28"/>
          <w:szCs w:val="28"/>
          <w:bdr w:val="none" w:color="auto" w:sz="0" w:space="0"/>
        </w:rPr>
        <w:t> </w:t>
      </w:r>
    </w:p>
    <w:p w14:paraId="0A90E0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一、为切实加强我省横向科研项目规范化管理，提高横向科研经费使用效益，调动广大科研人员积极性，根据中央和省科研项目经费管理的有关政策和精神，特制定本意见。</w:t>
      </w:r>
    </w:p>
    <w:p w14:paraId="3BB155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FF"/>
          <w:sz w:val="24"/>
          <w:szCs w:val="24"/>
        </w:rPr>
      </w:pPr>
      <w:r>
        <w:rPr>
          <w:rFonts w:hint="eastAsia" w:ascii="宋体" w:hAnsi="宋体" w:eastAsia="宋体" w:cs="宋体"/>
          <w:i w:val="0"/>
          <w:iCs w:val="0"/>
          <w:caps w:val="0"/>
          <w:color w:val="000000"/>
          <w:spacing w:val="0"/>
          <w:sz w:val="24"/>
          <w:szCs w:val="24"/>
          <w:bdr w:val="none" w:color="auto" w:sz="0" w:space="0"/>
        </w:rPr>
        <w:t>二、本意见所指横向科研项目是</w:t>
      </w:r>
      <w:r>
        <w:rPr>
          <w:rFonts w:hint="eastAsia" w:ascii="宋体" w:hAnsi="宋体" w:eastAsia="宋体" w:cs="宋体"/>
          <w:i w:val="0"/>
          <w:iCs w:val="0"/>
          <w:caps w:val="0"/>
          <w:color w:val="0000FF"/>
          <w:spacing w:val="0"/>
          <w:sz w:val="24"/>
          <w:szCs w:val="24"/>
          <w:bdr w:val="none" w:color="auto" w:sz="0" w:space="0"/>
        </w:rPr>
        <w:t>项目承担单位接受企业、其他社会组织或个人委托，签署合同开展合作研究、委托研究、技术开发、技术咨询、技术服务、成果转化等科研项目，以及各级非政府科研计划安排的财政资金性质的科研项目（项目主管部门另有要求的从其规定）。</w:t>
      </w:r>
    </w:p>
    <w:p w14:paraId="4F1A8F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三、遵守法律法规和中央及省科研项目经费使用有关政策前提下，横向科研项目管理要坚持统一要求与分类施策相协调，尊重科学规律，实行分类管理，激发科研人员积极性。坚持合同约定优先和自主规范管理相结合，建立完善以信任为前提的科研管理机制，赋予科研人员更大的人财物自主支配权。坚持绩效激励与加强科研诚信相结合，坚持完善激励机制与严肃问责追责机制等有机结合，保持权力与责任相一致。</w:t>
      </w:r>
    </w:p>
    <w:p w14:paraId="4CEFC1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四、明确财政性资金横向科研项目委托方职责。由事业单位、国有企业等单位作为委托方的横向科研项目，要规范履行立项、结题等手续，按照合同约定进行过程管理。</w:t>
      </w:r>
    </w:p>
    <w:p w14:paraId="68D7C9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FF"/>
          <w:sz w:val="24"/>
          <w:szCs w:val="24"/>
        </w:rPr>
      </w:pPr>
      <w:r>
        <w:rPr>
          <w:rFonts w:hint="eastAsia" w:ascii="宋体" w:hAnsi="宋体" w:eastAsia="宋体" w:cs="宋体"/>
          <w:i w:val="0"/>
          <w:iCs w:val="0"/>
          <w:caps w:val="0"/>
          <w:color w:val="000000"/>
          <w:spacing w:val="0"/>
          <w:sz w:val="24"/>
          <w:szCs w:val="24"/>
          <w:bdr w:val="none" w:color="auto" w:sz="0" w:space="0"/>
        </w:rPr>
        <w:t>五、明确横向科研项目实行</w:t>
      </w:r>
      <w:r>
        <w:rPr>
          <w:rFonts w:hint="eastAsia" w:ascii="宋体" w:hAnsi="宋体" w:eastAsia="宋体" w:cs="宋体"/>
          <w:i w:val="0"/>
          <w:iCs w:val="0"/>
          <w:caps w:val="0"/>
          <w:color w:val="0000FF"/>
          <w:spacing w:val="0"/>
          <w:sz w:val="24"/>
          <w:szCs w:val="24"/>
          <w:bdr w:val="none" w:color="auto" w:sz="0" w:space="0"/>
        </w:rPr>
        <w:t>管办分离</w:t>
      </w:r>
      <w:r>
        <w:rPr>
          <w:rFonts w:hint="eastAsia" w:ascii="宋体" w:hAnsi="宋体" w:eastAsia="宋体" w:cs="宋体"/>
          <w:i w:val="0"/>
          <w:iCs w:val="0"/>
          <w:caps w:val="0"/>
          <w:color w:val="000000"/>
          <w:spacing w:val="0"/>
          <w:sz w:val="24"/>
          <w:szCs w:val="24"/>
          <w:bdr w:val="none" w:color="auto" w:sz="0" w:space="0"/>
        </w:rPr>
        <w:t>。项目承担单位法人负主体责任，</w:t>
      </w:r>
      <w:r>
        <w:rPr>
          <w:rFonts w:hint="eastAsia" w:ascii="宋体" w:hAnsi="宋体" w:eastAsia="宋体" w:cs="宋体"/>
          <w:i w:val="0"/>
          <w:iCs w:val="0"/>
          <w:caps w:val="0"/>
          <w:color w:val="0000FF"/>
          <w:spacing w:val="0"/>
          <w:sz w:val="24"/>
          <w:szCs w:val="24"/>
          <w:bdr w:val="none" w:color="auto" w:sz="0" w:space="0"/>
        </w:rPr>
        <w:t>项目负责人所在二级单位或部门负监督责任，项目负责人负直接责任。项目承担单位负责制定本单位横向科研项目管理制度或规定、审查立项、审批合同、成果管理等。二级单位或部门负责项目实施监督工作。项目负责人对合同签订、项目实施、经费使用、项目结题等全过程负责。</w:t>
      </w:r>
    </w:p>
    <w:p w14:paraId="30DC38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FF"/>
          <w:sz w:val="24"/>
          <w:szCs w:val="24"/>
        </w:rPr>
      </w:pPr>
      <w:r>
        <w:rPr>
          <w:rFonts w:hint="eastAsia" w:ascii="宋体" w:hAnsi="宋体" w:eastAsia="宋体" w:cs="宋体"/>
          <w:i w:val="0"/>
          <w:iCs w:val="0"/>
          <w:caps w:val="0"/>
          <w:color w:val="000000"/>
          <w:spacing w:val="0"/>
          <w:sz w:val="24"/>
          <w:szCs w:val="24"/>
          <w:bdr w:val="none" w:color="auto" w:sz="0" w:space="0"/>
        </w:rPr>
        <w:t>六、规范横向科研项目合同管理。横向科研项目实施前应按</w:t>
      </w:r>
      <w:r>
        <w:rPr>
          <w:rFonts w:hint="eastAsia" w:ascii="宋体" w:hAnsi="宋体" w:eastAsia="宋体" w:cs="宋体"/>
          <w:i w:val="0"/>
          <w:iCs w:val="0"/>
          <w:caps w:val="0"/>
          <w:color w:val="0000FF"/>
          <w:spacing w:val="0"/>
          <w:sz w:val="24"/>
          <w:szCs w:val="24"/>
          <w:bdr w:val="none" w:color="auto" w:sz="0" w:space="0"/>
        </w:rPr>
        <w:t>《中华人民共和国民法典》</w:t>
      </w:r>
      <w:r>
        <w:rPr>
          <w:rFonts w:hint="eastAsia" w:ascii="宋体" w:hAnsi="宋体" w:eastAsia="宋体" w:cs="宋体"/>
          <w:i w:val="0"/>
          <w:iCs w:val="0"/>
          <w:caps w:val="0"/>
          <w:color w:val="000000"/>
          <w:spacing w:val="0"/>
          <w:sz w:val="24"/>
          <w:szCs w:val="24"/>
          <w:bdr w:val="none" w:color="auto" w:sz="0" w:space="0"/>
        </w:rPr>
        <w:t>的规定，在明确双方权利义务的基础上，按程序签订书面合同。</w:t>
      </w:r>
      <w:r>
        <w:rPr>
          <w:rFonts w:hint="eastAsia" w:ascii="宋体" w:hAnsi="宋体" w:eastAsia="宋体" w:cs="宋体"/>
          <w:i w:val="0"/>
          <w:iCs w:val="0"/>
          <w:caps w:val="0"/>
          <w:color w:val="0000FF"/>
          <w:spacing w:val="0"/>
          <w:sz w:val="24"/>
          <w:szCs w:val="24"/>
          <w:bdr w:val="none" w:color="auto" w:sz="0" w:space="0"/>
        </w:rPr>
        <w:t>合同内容包括科研项目名称、合同主体名称、研究任务、资金投入和使用、知识产权归属、权益分配、结题要求、风险责任承担、违约条款等合同主体各方的权利与义务。合同文本可参考科技部印发的《技术合同示范文本》。</w:t>
      </w:r>
    </w:p>
    <w:p w14:paraId="2404C2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七、加强横向科研项目结题管理。</w:t>
      </w:r>
      <w:r>
        <w:rPr>
          <w:rFonts w:hint="eastAsia" w:ascii="宋体" w:hAnsi="宋体" w:eastAsia="宋体" w:cs="宋体"/>
          <w:i w:val="0"/>
          <w:iCs w:val="0"/>
          <w:caps w:val="0"/>
          <w:color w:val="0000FF"/>
          <w:spacing w:val="0"/>
          <w:sz w:val="24"/>
          <w:szCs w:val="24"/>
          <w:bdr w:val="none" w:color="auto" w:sz="0" w:space="0"/>
        </w:rPr>
        <w:t>横向科研项目研究任务完成后须履行结题手续，原则上按照合同约定执行。合同未约定的根据项目承担单位制定的横向科研项目管理制度或规定进行结题。</w:t>
      </w:r>
      <w:r>
        <w:rPr>
          <w:rFonts w:hint="eastAsia" w:ascii="宋体" w:hAnsi="宋体" w:eastAsia="宋体" w:cs="宋体"/>
          <w:i w:val="0"/>
          <w:iCs w:val="0"/>
          <w:caps w:val="0"/>
          <w:color w:val="000000"/>
          <w:spacing w:val="0"/>
          <w:sz w:val="24"/>
          <w:szCs w:val="24"/>
          <w:bdr w:val="none" w:color="auto" w:sz="0" w:space="0"/>
        </w:rPr>
        <w:t>项目的完整结题材料需存档管理，结题后的合同纠纷等相关事宜由项目负责人继续负责。</w:t>
      </w:r>
    </w:p>
    <w:p w14:paraId="4859FB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八、妥善处理研发失败或终止事项。项目委托方与承担单位在书面合同中明确研发失败或终止事项处理方式，原则上按照合同相关条款执行。</w:t>
      </w:r>
    </w:p>
    <w:p w14:paraId="491CC9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九、优化管理，创新服务方式。项目承担单位加强科研管理信息化建设，推进“一站式”服务，缩减审批环节，简化报销流程，切实减轻科研人员负担。鼓励建立健全科研财务助理制度，为科研人员在项目预算编制和调剂、经费支出、财务决算和验收等方面提供专业化服务。</w:t>
      </w:r>
    </w:p>
    <w:p w14:paraId="202C93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十、明晰横向科研经费管理权限。</w:t>
      </w:r>
      <w:r>
        <w:rPr>
          <w:rFonts w:hint="eastAsia" w:ascii="宋体" w:hAnsi="宋体" w:eastAsia="宋体" w:cs="宋体"/>
          <w:i w:val="0"/>
          <w:iCs w:val="0"/>
          <w:caps w:val="0"/>
          <w:color w:val="0000FF"/>
          <w:spacing w:val="0"/>
          <w:sz w:val="24"/>
          <w:szCs w:val="24"/>
          <w:bdr w:val="none" w:color="auto" w:sz="0" w:space="0"/>
        </w:rPr>
        <w:t>横向科研经费纳入项目承担单位财务统一管理，施行横向项目与纵向项目分类管理。</w:t>
      </w:r>
      <w:r>
        <w:rPr>
          <w:rFonts w:hint="eastAsia" w:ascii="宋体" w:hAnsi="宋体" w:eastAsia="宋体" w:cs="宋体"/>
          <w:i w:val="0"/>
          <w:iCs w:val="0"/>
          <w:caps w:val="0"/>
          <w:color w:val="000000"/>
          <w:spacing w:val="0"/>
          <w:sz w:val="24"/>
          <w:szCs w:val="24"/>
          <w:bdr w:val="none" w:color="auto" w:sz="0" w:space="0"/>
        </w:rPr>
        <w:t>横向科研项目经费由项目承担单位按照委托方要求或合同约定管理使用；在合同中没有约定的，根据项目承担单位横向科研项目管理制度或规定规范使用。</w:t>
      </w:r>
    </w:p>
    <w:p w14:paraId="00B0C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FF"/>
          <w:sz w:val="24"/>
          <w:szCs w:val="24"/>
        </w:rPr>
      </w:pPr>
      <w:r>
        <w:rPr>
          <w:rFonts w:hint="eastAsia" w:ascii="宋体" w:hAnsi="宋体" w:eastAsia="宋体" w:cs="宋体"/>
          <w:i w:val="0"/>
          <w:iCs w:val="0"/>
          <w:caps w:val="0"/>
          <w:color w:val="000000"/>
          <w:spacing w:val="0"/>
          <w:sz w:val="24"/>
          <w:szCs w:val="24"/>
          <w:bdr w:val="none" w:color="auto" w:sz="0" w:space="0"/>
        </w:rPr>
        <w:t>十一、落实横向科研经费使用自主权。</w:t>
      </w:r>
      <w:r>
        <w:rPr>
          <w:rFonts w:hint="eastAsia" w:ascii="宋体" w:hAnsi="宋体" w:eastAsia="宋体" w:cs="宋体"/>
          <w:i w:val="0"/>
          <w:iCs w:val="0"/>
          <w:caps w:val="0"/>
          <w:color w:val="0000FF"/>
          <w:spacing w:val="0"/>
          <w:sz w:val="24"/>
          <w:szCs w:val="24"/>
          <w:bdr w:val="none" w:color="auto" w:sz="0" w:space="0"/>
        </w:rPr>
        <w:t>按照“谁使用、谁负责”原则</w:t>
      </w:r>
      <w:r>
        <w:rPr>
          <w:rFonts w:hint="eastAsia" w:ascii="宋体" w:hAnsi="宋体" w:eastAsia="宋体" w:cs="宋体"/>
          <w:i w:val="0"/>
          <w:iCs w:val="0"/>
          <w:caps w:val="0"/>
          <w:color w:val="000000"/>
          <w:spacing w:val="0"/>
          <w:sz w:val="24"/>
          <w:szCs w:val="24"/>
          <w:bdr w:val="none" w:color="auto" w:sz="0" w:space="0"/>
        </w:rPr>
        <w:t>，项目承担单位负责本单位横向科研经费的管理，明确科研经费性质与使用要求，下放管理权限</w:t>
      </w:r>
      <w:r>
        <w:rPr>
          <w:rFonts w:hint="eastAsia" w:ascii="宋体" w:hAnsi="宋体" w:eastAsia="宋体" w:cs="宋体"/>
          <w:i w:val="0"/>
          <w:iCs w:val="0"/>
          <w:caps w:val="0"/>
          <w:color w:val="0000FF"/>
          <w:spacing w:val="0"/>
          <w:sz w:val="24"/>
          <w:szCs w:val="24"/>
          <w:bdr w:val="none" w:color="auto" w:sz="0" w:space="0"/>
        </w:rPr>
        <w:t>，赋予项目负责人横向科研经费支配权。</w:t>
      </w:r>
    </w:p>
    <w:p w14:paraId="048C53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十二、积极鼓励承担横向科研项目。项目承担单位自主制定相应的管理制度或规定，对单项实际到位经费超过一定额度（包括成果转化）的横向科研项目，</w:t>
      </w:r>
      <w:r>
        <w:rPr>
          <w:rFonts w:hint="eastAsia" w:ascii="宋体" w:hAnsi="宋体" w:eastAsia="宋体" w:cs="宋体"/>
          <w:i w:val="0"/>
          <w:iCs w:val="0"/>
          <w:caps w:val="0"/>
          <w:color w:val="0000FF"/>
          <w:spacing w:val="0"/>
          <w:sz w:val="24"/>
          <w:szCs w:val="24"/>
          <w:bdr w:val="none" w:color="auto" w:sz="0" w:space="0"/>
        </w:rPr>
        <w:t>在人才评价、职称评聘、业绩考核、科技奖励等方面视同省级科技计划项目，</w:t>
      </w:r>
      <w:r>
        <w:rPr>
          <w:rFonts w:hint="eastAsia" w:ascii="宋体" w:hAnsi="宋体" w:eastAsia="宋体" w:cs="宋体"/>
          <w:i w:val="0"/>
          <w:iCs w:val="0"/>
          <w:caps w:val="0"/>
          <w:color w:val="000000"/>
          <w:spacing w:val="0"/>
          <w:sz w:val="24"/>
          <w:szCs w:val="24"/>
        </w:rPr>
        <w:t>激</w:t>
      </w:r>
      <w:r>
        <w:rPr>
          <w:rFonts w:hint="eastAsia" w:ascii="宋体" w:hAnsi="宋体" w:eastAsia="宋体" w:cs="宋体"/>
          <w:i w:val="0"/>
          <w:iCs w:val="0"/>
          <w:caps w:val="0"/>
          <w:color w:val="000000"/>
          <w:spacing w:val="0"/>
          <w:sz w:val="24"/>
          <w:szCs w:val="24"/>
          <w:bdr w:val="none" w:color="auto" w:sz="0" w:space="0"/>
        </w:rPr>
        <w:t>发科研人员创新活力。</w:t>
      </w:r>
      <w:r>
        <w:rPr>
          <w:rFonts w:hint="eastAsia" w:ascii="宋体" w:hAnsi="宋体" w:eastAsia="宋体" w:cs="宋体"/>
          <w:i w:val="0"/>
          <w:iCs w:val="0"/>
          <w:caps w:val="0"/>
          <w:color w:val="0000FF"/>
          <w:spacing w:val="0"/>
          <w:sz w:val="24"/>
          <w:szCs w:val="24"/>
          <w:bdr w:val="none" w:color="auto" w:sz="0" w:space="0"/>
        </w:rPr>
        <w:t>使用市场横向项目经费向科研人员发放的津贴、补贴、奖金等资金和按照相关规定使用职务发明成果转让收益向职务发明完成人、科技成果转化重要贡献人员和团队发放的奖励，</w:t>
      </w:r>
      <w:r>
        <w:rPr>
          <w:rFonts w:hint="eastAsia" w:ascii="宋体" w:hAnsi="宋体" w:eastAsia="宋体" w:cs="宋体"/>
          <w:b/>
          <w:bCs/>
          <w:i w:val="0"/>
          <w:iCs w:val="0"/>
          <w:caps w:val="0"/>
          <w:color w:val="0000FF"/>
          <w:spacing w:val="0"/>
          <w:sz w:val="24"/>
          <w:szCs w:val="24"/>
          <w:bdr w:val="none" w:color="auto" w:sz="0" w:space="0"/>
        </w:rPr>
        <w:t>不纳入本单位绩效工资总量管理</w:t>
      </w:r>
      <w:r>
        <w:rPr>
          <w:rFonts w:hint="eastAsia" w:ascii="宋体" w:hAnsi="宋体" w:eastAsia="宋体" w:cs="宋体"/>
          <w:i w:val="0"/>
          <w:iCs w:val="0"/>
          <w:caps w:val="0"/>
          <w:color w:val="0000FF"/>
          <w:spacing w:val="0"/>
          <w:sz w:val="24"/>
          <w:szCs w:val="24"/>
          <w:bdr w:val="none" w:color="auto" w:sz="0" w:space="0"/>
        </w:rPr>
        <w:t>。</w:t>
      </w:r>
      <w:r>
        <w:rPr>
          <w:rFonts w:hint="eastAsia" w:ascii="宋体" w:hAnsi="宋体" w:eastAsia="宋体" w:cs="宋体"/>
          <w:i w:val="0"/>
          <w:iCs w:val="0"/>
          <w:caps w:val="0"/>
          <w:color w:val="000000"/>
          <w:spacing w:val="0"/>
          <w:sz w:val="24"/>
          <w:szCs w:val="24"/>
          <w:bdr w:val="none" w:color="auto" w:sz="0" w:space="0"/>
        </w:rPr>
        <w:t>横向科研项目结题后的结余经费按照项目承担单位横向科研项目管理制度或规定规范使用。</w:t>
      </w:r>
    </w:p>
    <w:p w14:paraId="7B5579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FF"/>
          <w:sz w:val="24"/>
          <w:szCs w:val="24"/>
        </w:rPr>
      </w:pPr>
      <w:r>
        <w:rPr>
          <w:rFonts w:hint="eastAsia" w:ascii="宋体" w:hAnsi="宋体" w:eastAsia="宋体" w:cs="宋体"/>
          <w:i w:val="0"/>
          <w:iCs w:val="0"/>
          <w:caps w:val="0"/>
          <w:color w:val="000000"/>
          <w:spacing w:val="0"/>
          <w:sz w:val="24"/>
          <w:szCs w:val="24"/>
          <w:bdr w:val="none" w:color="auto" w:sz="0" w:space="0"/>
        </w:rPr>
        <w:t>十三、加大绩效激励力度。允许项目承担单位和科研人员通过合同约定知识产权使用权和转化收益，探索赋予科研人员科技成果所有权或长期使用权。</w:t>
      </w:r>
      <w:r>
        <w:rPr>
          <w:rFonts w:hint="eastAsia" w:ascii="宋体" w:hAnsi="宋体" w:eastAsia="宋体" w:cs="宋体"/>
          <w:i w:val="0"/>
          <w:iCs w:val="0"/>
          <w:caps w:val="0"/>
          <w:color w:val="0000FF"/>
          <w:spacing w:val="0"/>
          <w:sz w:val="24"/>
          <w:szCs w:val="24"/>
          <w:bdr w:val="none" w:color="auto" w:sz="0" w:space="0"/>
        </w:rPr>
        <w:t>技术开发、技术咨询、技术服务等活动的奖酬金提取，按照《中华人民共和国促进科技成果转化法》、《国务院关于印发实施〈中华人民共和国促进科技成果转化法〉若干规定的通知》（国发〔</w:t>
      </w:r>
      <w:r>
        <w:rPr>
          <w:rFonts w:hint="default" w:ascii="NEU-BZ" w:hAnsi="NEU-BZ" w:eastAsia="NEU-BZ" w:cs="NEU-BZ"/>
          <w:i w:val="0"/>
          <w:iCs w:val="0"/>
          <w:caps w:val="0"/>
          <w:color w:val="0000FF"/>
          <w:spacing w:val="0"/>
          <w:sz w:val="24"/>
          <w:szCs w:val="24"/>
          <w:bdr w:val="none" w:color="auto" w:sz="0" w:space="0"/>
        </w:rPr>
        <w:t>2016</w:t>
      </w:r>
      <w:r>
        <w:rPr>
          <w:rFonts w:hint="eastAsia" w:ascii="宋体" w:hAnsi="宋体" w:eastAsia="宋体" w:cs="宋体"/>
          <w:i w:val="0"/>
          <w:iCs w:val="0"/>
          <w:caps w:val="0"/>
          <w:color w:val="0000FF"/>
          <w:spacing w:val="0"/>
          <w:sz w:val="24"/>
          <w:szCs w:val="24"/>
          <w:bdr w:val="none" w:color="auto" w:sz="0" w:space="0"/>
        </w:rPr>
        <w:t>〕</w:t>
      </w:r>
      <w:r>
        <w:rPr>
          <w:rFonts w:hint="default" w:ascii="NEU-BZ" w:hAnsi="NEU-BZ" w:eastAsia="NEU-BZ" w:cs="NEU-BZ"/>
          <w:i w:val="0"/>
          <w:iCs w:val="0"/>
          <w:caps w:val="0"/>
          <w:color w:val="0000FF"/>
          <w:spacing w:val="0"/>
          <w:sz w:val="24"/>
          <w:szCs w:val="24"/>
          <w:bdr w:val="none" w:color="auto" w:sz="0" w:space="0"/>
        </w:rPr>
        <w:t>16</w:t>
      </w:r>
      <w:r>
        <w:rPr>
          <w:rFonts w:hint="eastAsia" w:ascii="宋体" w:hAnsi="宋体" w:eastAsia="宋体" w:cs="宋体"/>
          <w:i w:val="0"/>
          <w:iCs w:val="0"/>
          <w:caps w:val="0"/>
          <w:color w:val="0000FF"/>
          <w:spacing w:val="0"/>
          <w:sz w:val="24"/>
          <w:szCs w:val="24"/>
          <w:bdr w:val="none" w:color="auto" w:sz="0" w:space="0"/>
        </w:rPr>
        <w:t>号）执行。</w:t>
      </w:r>
    </w:p>
    <w:p w14:paraId="6285B0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十四、完善监督机制。项目承担单位应建立健全</w:t>
      </w:r>
      <w:bookmarkStart w:id="0" w:name="_GoBack"/>
      <w:bookmarkEnd w:id="0"/>
      <w:r>
        <w:rPr>
          <w:rFonts w:hint="eastAsia" w:ascii="宋体" w:hAnsi="宋体" w:eastAsia="宋体" w:cs="宋体"/>
          <w:i w:val="0"/>
          <w:iCs w:val="0"/>
          <w:caps w:val="0"/>
          <w:color w:val="000000"/>
          <w:spacing w:val="0"/>
          <w:sz w:val="24"/>
          <w:szCs w:val="24"/>
          <w:bdr w:val="none" w:color="auto" w:sz="0" w:space="0"/>
        </w:rPr>
        <w:t>“统一领导、分级管理、责任到人”的经费管理体制，明确项目负责人对项目资金使用的真实性、合法性、合规性和相关性负责。建立健全科研和财务管理等相结合的内部控制和监督约束机制。项目承担单位要主动接受监察、财政、审计等部门监督，不断提高横向科研项目资金使用绩效。</w:t>
      </w:r>
    </w:p>
    <w:p w14:paraId="2E14E4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十五、加强科研诚信建设。强调横向科研项目的诚信管理与信息公开，强化责任和诚信意识，规范科研诚信管理。</w:t>
      </w:r>
    </w:p>
    <w:p w14:paraId="37F03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both"/>
        <w:textAlignment w:val="auto"/>
        <w:rPr>
          <w:rFonts w:hint="default" w:ascii="NEU-BZ" w:hAnsi="NEU-BZ" w:eastAsia="NEU-BZ" w:cs="NEU-BZ"/>
          <w:color w:val="000000"/>
          <w:sz w:val="24"/>
          <w:szCs w:val="24"/>
        </w:rPr>
      </w:pPr>
      <w:r>
        <w:rPr>
          <w:rFonts w:hint="eastAsia" w:ascii="宋体" w:hAnsi="宋体" w:eastAsia="宋体" w:cs="宋体"/>
          <w:i w:val="0"/>
          <w:iCs w:val="0"/>
          <w:caps w:val="0"/>
          <w:color w:val="000000"/>
          <w:spacing w:val="0"/>
          <w:sz w:val="24"/>
          <w:szCs w:val="24"/>
          <w:bdr w:val="none" w:color="auto" w:sz="0" w:space="0"/>
        </w:rPr>
        <w:t>十六、本意见自</w:t>
      </w:r>
      <w:r>
        <w:rPr>
          <w:rFonts w:hint="default" w:ascii="NEU-BZ" w:hAnsi="NEU-BZ" w:eastAsia="NEU-BZ" w:cs="NEU-BZ"/>
          <w:i w:val="0"/>
          <w:iCs w:val="0"/>
          <w:caps w:val="0"/>
          <w:color w:val="000000"/>
          <w:spacing w:val="0"/>
          <w:sz w:val="24"/>
          <w:szCs w:val="24"/>
          <w:bdr w:val="none" w:color="auto" w:sz="0" w:space="0"/>
        </w:rPr>
        <w:t>2021</w:t>
      </w:r>
      <w:r>
        <w:rPr>
          <w:rFonts w:hint="eastAsia" w:ascii="宋体" w:hAnsi="宋体" w:eastAsia="宋体" w:cs="宋体"/>
          <w:i w:val="0"/>
          <w:iCs w:val="0"/>
          <w:caps w:val="0"/>
          <w:color w:val="000000"/>
          <w:spacing w:val="0"/>
          <w:sz w:val="24"/>
          <w:szCs w:val="24"/>
          <w:bdr w:val="none" w:color="auto" w:sz="0" w:space="0"/>
        </w:rPr>
        <w:t>年</w:t>
      </w:r>
      <w:r>
        <w:rPr>
          <w:rFonts w:hint="default" w:ascii="NEU-BZ" w:hAnsi="NEU-BZ" w:eastAsia="NEU-BZ" w:cs="NEU-BZ"/>
          <w:i w:val="0"/>
          <w:iCs w:val="0"/>
          <w:caps w:val="0"/>
          <w:color w:val="000000"/>
          <w:spacing w:val="0"/>
          <w:sz w:val="24"/>
          <w:szCs w:val="24"/>
          <w:bdr w:val="none" w:color="auto" w:sz="0" w:space="0"/>
        </w:rPr>
        <w:t>6</w:t>
      </w:r>
      <w:r>
        <w:rPr>
          <w:rFonts w:hint="eastAsia" w:ascii="宋体" w:hAnsi="宋体" w:eastAsia="宋体" w:cs="宋体"/>
          <w:i w:val="0"/>
          <w:iCs w:val="0"/>
          <w:caps w:val="0"/>
          <w:color w:val="000000"/>
          <w:spacing w:val="0"/>
          <w:sz w:val="24"/>
          <w:szCs w:val="24"/>
          <w:bdr w:val="none" w:color="auto" w:sz="0" w:space="0"/>
        </w:rPr>
        <w:t>月</w:t>
      </w:r>
      <w:r>
        <w:rPr>
          <w:rFonts w:hint="default" w:ascii="NEU-BZ" w:hAnsi="NEU-BZ" w:eastAsia="NEU-BZ" w:cs="NEU-BZ"/>
          <w:i w:val="0"/>
          <w:iCs w:val="0"/>
          <w:caps w:val="0"/>
          <w:color w:val="000000"/>
          <w:spacing w:val="0"/>
          <w:sz w:val="24"/>
          <w:szCs w:val="24"/>
          <w:bdr w:val="none" w:color="auto" w:sz="0" w:space="0"/>
        </w:rPr>
        <w:t>18</w:t>
      </w:r>
      <w:r>
        <w:rPr>
          <w:rFonts w:hint="eastAsia" w:ascii="宋体" w:hAnsi="宋体" w:eastAsia="宋体" w:cs="宋体"/>
          <w:i w:val="0"/>
          <w:iCs w:val="0"/>
          <w:caps w:val="0"/>
          <w:color w:val="000000"/>
          <w:spacing w:val="0"/>
          <w:sz w:val="24"/>
          <w:szCs w:val="24"/>
          <w:bdr w:val="none" w:color="auto" w:sz="0" w:space="0"/>
        </w:rPr>
        <w:t>日起实施，有效期</w:t>
      </w:r>
      <w:r>
        <w:rPr>
          <w:rFonts w:hint="default" w:ascii="NEU-BZ" w:hAnsi="NEU-BZ" w:eastAsia="NEU-BZ" w:cs="NEU-BZ"/>
          <w:i w:val="0"/>
          <w:iCs w:val="0"/>
          <w:caps w:val="0"/>
          <w:color w:val="000000"/>
          <w:spacing w:val="0"/>
          <w:sz w:val="24"/>
          <w:szCs w:val="24"/>
          <w:bdr w:val="none" w:color="auto" w:sz="0" w:space="0"/>
        </w:rPr>
        <w:t>5</w:t>
      </w:r>
      <w:r>
        <w:rPr>
          <w:rFonts w:hint="eastAsia" w:ascii="宋体" w:hAnsi="宋体" w:eastAsia="宋体" w:cs="宋体"/>
          <w:i w:val="0"/>
          <w:iCs w:val="0"/>
          <w:caps w:val="0"/>
          <w:color w:val="000000"/>
          <w:spacing w:val="0"/>
          <w:sz w:val="24"/>
          <w:szCs w:val="24"/>
          <w:bdr w:val="none" w:color="auto" w:sz="0" w:space="0"/>
        </w:rPr>
        <w:t>年。</w:t>
      </w:r>
    </w:p>
    <w:p w14:paraId="134FDFDF">
      <w:pPr>
        <w:keepNext w:val="0"/>
        <w:keepLines w:val="0"/>
        <w:pageBreakBefore w:val="0"/>
        <w:kinsoku/>
        <w:overflowPunct/>
        <w:topLinePunct w:val="0"/>
        <w:autoSpaceDE/>
        <w:autoSpaceDN/>
        <w:bidi w:val="0"/>
        <w:adjustRightInd/>
        <w:snapToGrid/>
        <w:spacing w:line="360" w:lineRule="auto"/>
        <w:ind w:left="0" w:right="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NEU-BZ">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F33CA"/>
    <w:rsid w:val="23FF33CA"/>
    <w:rsid w:val="5D0B35B7"/>
    <w:rsid w:val="601C3371"/>
    <w:rsid w:val="6342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2026-02-03T03:02:00Z</dcterms:created>
  <dc:creator>淡泊宁静1416189534</dc:creator>
  <cp:lastModifiedBy>淡泊宁静1416189534</cp:lastModifiedBy>
  <dcterms:modified xsi:type="dcterms:W3CDTF">2026-02-03T03:21:41Z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7143A5DB72F945C3A8657BC0DEF1E524_11</vt:lpwstr>
  </property>
  <property fmtid="{D5CDD505-2E9C-101B-9397-08002B2CF9AE}" pid="4" name="KSOTemplateDocerSaveRecord">
    <vt:lpwstr>eyJoZGlkIjoiMWYwNWY2Y2Y0OGE1OTJhMWE3ODZhNTBiNDUzMjdiNjMiLCJ1c2VySWQiOiIyNTE1MTYxOCJ9</vt:lpwstr>
  </property>
</Properties>
</file>